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54" w:rsidRDefault="008E3754" w:rsidP="00871171">
      <w:pPr>
        <w:spacing w:after="0" w:line="240" w:lineRule="auto"/>
      </w:pPr>
    </w:p>
    <w:p w:rsidR="00593D3F" w:rsidRPr="00871171" w:rsidRDefault="00871171" w:rsidP="00871171">
      <w:pPr>
        <w:pStyle w:val="Nagwek1"/>
        <w:spacing w:line="240" w:lineRule="auto"/>
      </w:pPr>
      <w:r w:rsidRPr="00871171">
        <w:t>WYMAGANIA EDUKACYJNE Z MATEMATYKI DLA KLASY VII</w:t>
      </w:r>
      <w:r w:rsidRPr="00871171">
        <w:t>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871171" w:rsidRPr="00625D7F" w:rsidTr="0049439C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I.   Potęgi o podstawach wymiernych.   </w:t>
            </w:r>
            <w:r w:rsidRPr="00625D7F">
              <w:rPr>
                <w:sz w:val="20"/>
                <w:szCs w:val="20"/>
              </w:rPr>
              <w:t xml:space="preserve">Uczeń: 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zapisuje iloczyn jednakowych czynników w postaci potęgi o wykładniku całkowitym dodatnim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mnoży i dzieli potęgi o wykładnikach całkowitych dodatnich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mnoży potęgi o różnych podstawach i je</w:t>
            </w:r>
            <w:r>
              <w:rPr>
                <w:sz w:val="20"/>
                <w:szCs w:val="20"/>
              </w:rPr>
              <w:t>dnakowych wykładnikach,</w:t>
            </w:r>
            <w:r w:rsidRPr="00625D7F">
              <w:rPr>
                <w:sz w:val="20"/>
                <w:szCs w:val="20"/>
              </w:rPr>
              <w:t xml:space="preserve"> 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podnosi potęgę do potęgi,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rPr>
                <w:i/>
                <w:iCs/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5) odczytuje i zapisuje liczby w notacji wykładniczej</w:t>
            </w:r>
            <w:r w:rsidRPr="00625D7F">
              <w:rPr>
                <w:i/>
                <w:iCs/>
                <w:sz w:val="20"/>
                <w:szCs w:val="20"/>
              </w:rPr>
              <w:t xml:space="preserve"> a</w:t>
            </w:r>
            <w:r w:rsidRPr="00625D7F">
              <w:rPr>
                <w:sz w:val="20"/>
                <w:szCs w:val="20"/>
              </w:rPr>
              <w:t xml:space="preserve"> ·10</w:t>
            </w:r>
            <w:r w:rsidRPr="00625D7F">
              <w:rPr>
                <w:sz w:val="20"/>
                <w:szCs w:val="20"/>
                <w:vertAlign w:val="superscript"/>
              </w:rPr>
              <w:t>k</w:t>
            </w:r>
            <w:r w:rsidRPr="00625D7F">
              <w:rPr>
                <w:sz w:val="20"/>
                <w:szCs w:val="20"/>
              </w:rPr>
              <w:t xml:space="preserve">, gdzie  1  </w:t>
            </w:r>
            <w:r w:rsidRPr="00625D7F">
              <w:rPr>
                <w:sz w:val="20"/>
                <w:szCs w:val="20"/>
              </w:rPr>
              <w:sym w:font="Symbol" w:char="F0A3"/>
            </w:r>
            <w:r w:rsidRPr="00625D7F">
              <w:rPr>
                <w:i/>
                <w:iCs/>
                <w:sz w:val="20"/>
                <w:szCs w:val="20"/>
              </w:rPr>
              <w:t xml:space="preserve"> a &lt;</w:t>
            </w:r>
            <w:r w:rsidRPr="00625D7F">
              <w:rPr>
                <w:sz w:val="20"/>
                <w:szCs w:val="20"/>
              </w:rPr>
              <w:t xml:space="preserve"> 10,   </w:t>
            </w:r>
            <w:r w:rsidRPr="00625D7F">
              <w:rPr>
                <w:i/>
                <w:iCs/>
                <w:sz w:val="20"/>
                <w:szCs w:val="20"/>
              </w:rPr>
              <w:t xml:space="preserve"> </w:t>
            </w:r>
          </w:p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rPr>
                <w:sz w:val="20"/>
                <w:szCs w:val="20"/>
              </w:rPr>
            </w:pPr>
            <w:r w:rsidRPr="00625D7F">
              <w:rPr>
                <w:i/>
                <w:iCs/>
                <w:sz w:val="20"/>
                <w:szCs w:val="20"/>
              </w:rPr>
              <w:t xml:space="preserve"> k</w:t>
            </w:r>
            <w:r w:rsidRPr="00625D7F">
              <w:rPr>
                <w:sz w:val="20"/>
                <w:szCs w:val="20"/>
              </w:rPr>
              <w:t xml:space="preserve"> jest liczbą całkowitą. </w:t>
            </w:r>
          </w:p>
        </w:tc>
      </w:tr>
      <w:tr w:rsidR="00871171" w:rsidRPr="00625D7F" w:rsidTr="0049439C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871171" w:rsidRPr="00625D7F" w:rsidRDefault="00871171" w:rsidP="008711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II.   Pierwiastki.   </w:t>
            </w:r>
            <w:r w:rsidRPr="00625D7F">
              <w:rPr>
                <w:sz w:val="20"/>
                <w:szCs w:val="20"/>
              </w:rPr>
              <w:t>Uczeń: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oblicza wartości pierwiastków kwadratowych i sześciennych z liczb, które są odpowiednio kwadratami lub sześcianami liczb wymiernych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szacuje wielkość danego pierwiastka kwadratowego lub sześciennego oraz wyrażenia arytmetycznego zawierającego pierwiastki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3) porównuje wartość wyrażenia arytmetycznego zawierającego pierwiastki z daną liczbą wymierną oraz znajduje liczby wymierne większe lub mniejsze od takiej wartości, np. znajduje liczbę całkowitą taką, że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a≤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137</m:t>
                  </m:r>
                </m:e>
              </m:rad>
              <m:r>
                <w:rPr>
                  <w:rFonts w:ascii="Cambria Math" w:hAnsi="Cambria Math"/>
                  <w:sz w:val="20"/>
                  <w:szCs w:val="20"/>
                </w:rPr>
                <m:t>&lt;a+1</m:t>
              </m:r>
            </m:oMath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4) oblicza pierwiastek z iloczynu i ilor</w:t>
            </w:r>
            <w:r>
              <w:rPr>
                <w:sz w:val="20"/>
                <w:szCs w:val="20"/>
              </w:rPr>
              <w:t>azu dwóch liczb, wyłącza liczbę</w:t>
            </w:r>
            <w:r w:rsidRPr="00625D7F">
              <w:rPr>
                <w:sz w:val="20"/>
                <w:szCs w:val="20"/>
              </w:rPr>
              <w:t xml:space="preserve"> przed znak pierwiastka i włą</w:t>
            </w:r>
            <w:r>
              <w:rPr>
                <w:sz w:val="20"/>
                <w:szCs w:val="20"/>
              </w:rPr>
              <w:t>cza liczbę pod znak pierwiastka,</w:t>
            </w:r>
            <w:r w:rsidRPr="00625D7F">
              <w:rPr>
                <w:sz w:val="20"/>
                <w:szCs w:val="20"/>
              </w:rPr>
              <w:t xml:space="preserve"> 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5) mnoży i dzieli pierwiastki tego samego stopnia</w:t>
            </w:r>
            <w:r>
              <w:rPr>
                <w:sz w:val="20"/>
                <w:szCs w:val="20"/>
              </w:rPr>
              <w:t>.</w:t>
            </w:r>
          </w:p>
        </w:tc>
      </w:tr>
      <w:tr w:rsidR="00871171" w:rsidRPr="00625D7F" w:rsidTr="0049439C">
        <w:trPr>
          <w:trHeight w:val="409"/>
        </w:trPr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871171" w:rsidRPr="00625D7F" w:rsidRDefault="00871171" w:rsidP="00871171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III. Tworzenie wyrażeń algebraicznych z jedną i z wieloma zmiennymi.</w:t>
            </w:r>
            <w:r w:rsidRPr="00625D7F">
              <w:rPr>
                <w:sz w:val="20"/>
                <w:szCs w:val="20"/>
              </w:rPr>
              <w:t xml:space="preserve"> Uczeń: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zapisuje wyniki podanych działań w postaci wyrażeń algebraicznych jednej lub kilku zmiennych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oblicza wartości liczbowe wyrażeń algebraicznych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zapisuje zależności przedstawione w zadaniach w postaci wyrażeń algebraicznych jednej lub kilku zmiennych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4) zapisuje rozwiązania zadań w postaci wyrażeń algebraicznych</w:t>
            </w:r>
            <w:r>
              <w:rPr>
                <w:sz w:val="20"/>
                <w:szCs w:val="20"/>
              </w:rPr>
              <w:t>.</w:t>
            </w:r>
          </w:p>
        </w:tc>
      </w:tr>
      <w:tr w:rsidR="00871171" w:rsidRPr="00625D7F" w:rsidTr="0049439C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871171" w:rsidRPr="00625D7F" w:rsidRDefault="00871171" w:rsidP="00871171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IV. Przekształcanie wyrażeń algebraicznych.  Sumy algebraiczne i działania na nich.</w:t>
            </w:r>
            <w:r w:rsidRPr="00625D7F">
              <w:rPr>
                <w:sz w:val="20"/>
                <w:szCs w:val="20"/>
              </w:rPr>
              <w:t xml:space="preserve"> Uczeń: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porządkuje jednomiany i dodaje jednomiany podobne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dodaje i odejmuje sumy algebraiczne</w:t>
            </w:r>
            <w:r>
              <w:rPr>
                <w:sz w:val="20"/>
                <w:szCs w:val="20"/>
              </w:rPr>
              <w:t>, redukując wyrazy podobne,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mnoży sumę algebraiczną przez jednomian i dodaje wyrażenia powstałe z mnożenia sum algebraicznych przez jednomiany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4) mnoży dwumian przez dwumian, </w:t>
            </w:r>
            <w:r>
              <w:rPr>
                <w:sz w:val="20"/>
                <w:szCs w:val="20"/>
              </w:rPr>
              <w:t>redukując</w:t>
            </w:r>
            <w:r w:rsidRPr="00625D7F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Pr="00625D7F">
              <w:rPr>
                <w:sz w:val="20"/>
                <w:szCs w:val="20"/>
              </w:rPr>
              <w:t xml:space="preserve"> podobn</w:t>
            </w:r>
            <w:r>
              <w:rPr>
                <w:sz w:val="20"/>
                <w:szCs w:val="20"/>
              </w:rPr>
              <w:t>e.</w:t>
            </w:r>
          </w:p>
        </w:tc>
      </w:tr>
      <w:tr w:rsidR="00871171" w:rsidRPr="00625D7F" w:rsidTr="0049439C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V.   Obliczenia procentowe.   </w:t>
            </w:r>
            <w:r w:rsidRPr="00625D7F">
              <w:rPr>
                <w:sz w:val="20"/>
                <w:szCs w:val="20"/>
              </w:rPr>
              <w:t>Uczeń: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przedstawia część wielk</w:t>
            </w:r>
            <w:r>
              <w:rPr>
                <w:sz w:val="20"/>
                <w:szCs w:val="20"/>
              </w:rPr>
              <w:t>ości jako procent tej wielkości,</w:t>
            </w:r>
            <w:r w:rsidRPr="00625D7F">
              <w:rPr>
                <w:sz w:val="20"/>
                <w:szCs w:val="20"/>
              </w:rPr>
              <w:t xml:space="preserve"> 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2) oblicza liczbę </w:t>
            </w:r>
            <w:r w:rsidRPr="00625D7F">
              <w:rPr>
                <w:i/>
                <w:sz w:val="20"/>
                <w:szCs w:val="20"/>
              </w:rPr>
              <w:t>a</w:t>
            </w:r>
            <w:r w:rsidRPr="00625D7F">
              <w:rPr>
                <w:sz w:val="20"/>
                <w:szCs w:val="20"/>
              </w:rPr>
              <w:t xml:space="preserve"> równą </w:t>
            </w:r>
            <w:r w:rsidRPr="00625D7F">
              <w:rPr>
                <w:i/>
                <w:sz w:val="20"/>
                <w:szCs w:val="20"/>
              </w:rPr>
              <w:t>p</w:t>
            </w:r>
            <w:r w:rsidRPr="00625D7F">
              <w:rPr>
                <w:sz w:val="20"/>
                <w:szCs w:val="20"/>
              </w:rPr>
              <w:t xml:space="preserve"> procent danej liczby </w:t>
            </w:r>
            <w:r w:rsidRPr="00625D7F">
              <w:rPr>
                <w:i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3) oblicza, jaki procent danej liczby </w:t>
            </w:r>
            <w:r w:rsidRPr="00625D7F">
              <w:rPr>
                <w:i/>
                <w:sz w:val="20"/>
                <w:szCs w:val="20"/>
              </w:rPr>
              <w:t>b</w:t>
            </w:r>
            <w:r w:rsidRPr="00625D7F">
              <w:rPr>
                <w:sz w:val="20"/>
                <w:szCs w:val="20"/>
              </w:rPr>
              <w:t xml:space="preserve"> stanowi liczba </w:t>
            </w:r>
            <w:r w:rsidRPr="00625D7F">
              <w:rPr>
                <w:i/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4) oblicza liczbę </w:t>
            </w:r>
            <w:r w:rsidRPr="00625D7F">
              <w:rPr>
                <w:i/>
                <w:sz w:val="20"/>
                <w:szCs w:val="20"/>
              </w:rPr>
              <w:t>b</w:t>
            </w:r>
            <w:r w:rsidRPr="00625D7F">
              <w:rPr>
                <w:sz w:val="20"/>
                <w:szCs w:val="20"/>
              </w:rPr>
              <w:t xml:space="preserve">, której </w:t>
            </w:r>
            <w:r w:rsidRPr="00625D7F">
              <w:rPr>
                <w:i/>
                <w:sz w:val="20"/>
                <w:szCs w:val="20"/>
              </w:rPr>
              <w:t>p</w:t>
            </w:r>
            <w:r w:rsidRPr="00625D7F">
              <w:rPr>
                <w:sz w:val="20"/>
                <w:szCs w:val="20"/>
              </w:rPr>
              <w:t xml:space="preserve"> procent jest równe </w:t>
            </w:r>
            <w:r w:rsidRPr="00625D7F"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5) stosuje obliczenia procentowe do rozwiązywania problemów w kontekście praktycznym, również w przypadkach </w:t>
            </w:r>
            <w:r>
              <w:rPr>
                <w:sz w:val="20"/>
                <w:szCs w:val="20"/>
              </w:rPr>
              <w:t>dwukrotnych</w:t>
            </w:r>
            <w:r w:rsidRPr="00625D7F">
              <w:rPr>
                <w:sz w:val="20"/>
                <w:szCs w:val="20"/>
              </w:rPr>
              <w:t xml:space="preserve"> podwyżek lub obniżek</w:t>
            </w:r>
            <w:r>
              <w:rPr>
                <w:sz w:val="20"/>
                <w:szCs w:val="20"/>
              </w:rPr>
              <w:t xml:space="preserve"> danej wielkości</w:t>
            </w:r>
            <w:r w:rsidRPr="00625D7F">
              <w:rPr>
                <w:sz w:val="20"/>
                <w:szCs w:val="20"/>
              </w:rPr>
              <w:t>.</w:t>
            </w:r>
          </w:p>
        </w:tc>
      </w:tr>
      <w:tr w:rsidR="00871171" w:rsidRPr="00625D7F" w:rsidTr="0049439C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VI.   Równania z jedną niewiadomą.   </w:t>
            </w:r>
            <w:r w:rsidRPr="00625D7F">
              <w:rPr>
                <w:sz w:val="20"/>
                <w:szCs w:val="20"/>
              </w:rPr>
              <w:t>Uczeń: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  <w:r w:rsidRPr="00625D7F">
              <w:rPr>
                <w:sz w:val="20"/>
                <w:szCs w:val="20"/>
              </w:rPr>
              <w:t xml:space="preserve">sprawdza, czy dana liczba jest rozwiązaniem równania( stopnia pierwszego, drugiego lub trzeciego) z jedną niewiadomą,  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rozwiązuje równania pierwszego</w:t>
            </w:r>
            <w:r>
              <w:rPr>
                <w:sz w:val="20"/>
                <w:szCs w:val="20"/>
              </w:rPr>
              <w:t xml:space="preserve"> </w:t>
            </w:r>
            <w:r w:rsidRPr="00625D7F">
              <w:rPr>
                <w:sz w:val="20"/>
                <w:szCs w:val="20"/>
              </w:rPr>
              <w:t>stopnia z jedną niewiadomą metod</w:t>
            </w:r>
            <w:r>
              <w:rPr>
                <w:sz w:val="20"/>
                <w:szCs w:val="20"/>
              </w:rPr>
              <w:t>ą</w:t>
            </w:r>
            <w:r w:rsidRPr="00625D7F">
              <w:rPr>
                <w:sz w:val="20"/>
                <w:szCs w:val="20"/>
              </w:rPr>
              <w:t xml:space="preserve"> równań równoważnych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  <w:r w:rsidRPr="00625D7F">
              <w:rPr>
                <w:sz w:val="20"/>
                <w:szCs w:val="20"/>
              </w:rPr>
              <w:t>rozwiązuje równania, które po prostych przekształceniach wyrażeń algebraicznych sprowadzają się do równań pierwszego stopnia z jedną niewiadomą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4) rozwiązuje zdania tekstowe za pomocą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  <w:r w:rsidRPr="00625D7F">
              <w:rPr>
                <w:sz w:val="20"/>
                <w:szCs w:val="20"/>
              </w:rPr>
              <w:t>równań pierwszego stopnia z jedną niewiadomą, w tym także z obliczeniami procentowymi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5) przekształca proste wzory, aby wyznaczyć wskazaną wielkość we wzorach geometrycznych (np. pól figur) i fizycznych (np. dotyczących prędkości, drogi i czasu)</w:t>
            </w:r>
            <w:r>
              <w:rPr>
                <w:sz w:val="20"/>
                <w:szCs w:val="20"/>
              </w:rPr>
              <w:t>.</w:t>
            </w:r>
          </w:p>
        </w:tc>
      </w:tr>
      <w:tr w:rsidR="00871171" w:rsidRPr="00625D7F" w:rsidTr="0049439C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VII. Proporcjonalność prosta. </w:t>
            </w:r>
            <w:r w:rsidRPr="00625D7F">
              <w:rPr>
                <w:sz w:val="20"/>
                <w:szCs w:val="20"/>
              </w:rPr>
              <w:t>Uczeń:</w:t>
            </w:r>
          </w:p>
        </w:tc>
      </w:tr>
      <w:tr w:rsidR="00871171" w:rsidRPr="00625D7F" w:rsidTr="0049439C">
        <w:trPr>
          <w:trHeight w:val="308"/>
        </w:trPr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podaje przykłady wielkości wprost proporcjonalnych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rPr>
          <w:trHeight w:val="539"/>
        </w:trPr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wyznacza wartość przyjmowaną przez wielkość wprost proporcjonalną w przypadku konkretnej zależności proporcjonalnej</w:t>
            </w:r>
            <w:r>
              <w:rPr>
                <w:sz w:val="20"/>
                <w:szCs w:val="20"/>
              </w:rPr>
              <w:t>, np. wartość zakupionego towaru w zależności od liczby sztuk towaru,</w:t>
            </w:r>
            <w:r w:rsidRPr="00625D7F">
              <w:rPr>
                <w:sz w:val="20"/>
                <w:szCs w:val="20"/>
              </w:rPr>
              <w:t xml:space="preserve"> </w:t>
            </w:r>
          </w:p>
        </w:tc>
      </w:tr>
      <w:tr w:rsidR="00871171" w:rsidRPr="00625D7F" w:rsidTr="0049439C">
        <w:trPr>
          <w:trHeight w:val="328"/>
        </w:trPr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stosuje podział proporcjonalny.</w:t>
            </w:r>
            <w:r w:rsidRPr="00625D7F">
              <w:rPr>
                <w:sz w:val="20"/>
                <w:szCs w:val="20"/>
              </w:rPr>
              <w:t xml:space="preserve">    </w:t>
            </w:r>
          </w:p>
        </w:tc>
        <w:bookmarkStart w:id="0" w:name="_GoBack"/>
        <w:bookmarkEnd w:id="0"/>
      </w:tr>
      <w:tr w:rsidR="00871171" w:rsidRPr="00625D7F" w:rsidTr="0049439C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VIII.  Własności figur geometrycznych na płaszczyźnie. </w:t>
            </w:r>
            <w:r w:rsidRPr="00625D7F">
              <w:rPr>
                <w:sz w:val="20"/>
                <w:szCs w:val="20"/>
              </w:rPr>
              <w:t>Uczeń: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lastRenderedPageBreak/>
              <w:t>1) zna i stosuje twierdzenie o równości kątów wierzchołkowych (z wykorzystaniem zależności pomiędzy kątami przyległymi)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2) przedstawia na płaszczyźnie dwie proste w różnych położeniach względem siebie, </w:t>
            </w:r>
          </w:p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w szczególności proste prostopadłe i proste równoległe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korzysta z własności prostych równoległych, w szczególności stosuje równość kątów odpowiadających i naprzemianległych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4) zna i stosuje cechy przystawania trójkątów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25D7F">
              <w:rPr>
                <w:sz w:val="20"/>
                <w:szCs w:val="20"/>
              </w:rPr>
              <w:t xml:space="preserve">) zna nierówność trójkąta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AB+BC≥AC</m:t>
              </m:r>
            </m:oMath>
            <w:r w:rsidRPr="00625D7F">
              <w:rPr>
                <w:sz w:val="20"/>
                <w:szCs w:val="20"/>
              </w:rPr>
              <w:t xml:space="preserve"> i wie, kiedy zachodzi równość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25D7F">
              <w:rPr>
                <w:sz w:val="20"/>
                <w:szCs w:val="20"/>
              </w:rPr>
              <w:t>) wykonuje proste obliczenia geometryczne, wykorzystując sumę kątów wewnętrznych trójkąta i własności trójkątów równoramiennych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25D7F">
              <w:rPr>
                <w:sz w:val="20"/>
                <w:szCs w:val="20"/>
              </w:rPr>
              <w:t xml:space="preserve">) zna i stosuje w sytuacjach praktycznych twierdzenie Pitagorasa </w:t>
            </w:r>
            <w:r>
              <w:rPr>
                <w:sz w:val="20"/>
                <w:szCs w:val="20"/>
              </w:rPr>
              <w:t>(bez twierdzenia odwrotnego),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25D7F">
              <w:rPr>
                <w:sz w:val="20"/>
                <w:szCs w:val="20"/>
              </w:rPr>
              <w:t>) przeprowadza dowody geometryczne</w:t>
            </w:r>
            <w:r>
              <w:rPr>
                <w:sz w:val="20"/>
                <w:szCs w:val="20"/>
              </w:rPr>
              <w:t>.</w:t>
            </w:r>
          </w:p>
        </w:tc>
      </w:tr>
      <w:tr w:rsidR="00871171" w:rsidRPr="00625D7F" w:rsidTr="0049439C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IX. Wielokąty.</w:t>
            </w:r>
            <w:r w:rsidRPr="00625D7F">
              <w:rPr>
                <w:sz w:val="20"/>
                <w:szCs w:val="20"/>
              </w:rPr>
              <w:t xml:space="preserve"> Uczeń: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zna pojęcie wielokąta foremnego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stosuje wzory na pole trójkąta, prostokąta, kwadratu, równoległoboku, rombu, trapezu, a także do wyznaczania długości odcinków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871171" w:rsidRPr="00625D7F" w:rsidTr="0049439C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X. Oś liczbowa.</w:t>
            </w:r>
            <w:r w:rsidRPr="00625D7F">
              <w:rPr>
                <w:sz w:val="20"/>
                <w:szCs w:val="20"/>
              </w:rPr>
              <w:t xml:space="preserve"> Uczeń: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1) zaznacza na osi liczbowej zbiory liczb spełniających warunek taki jak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x≥1,5 </m:t>
              </m:r>
            </m:oMath>
            <w:r w:rsidRPr="00625D7F">
              <w:rPr>
                <w:sz w:val="20"/>
                <w:szCs w:val="20"/>
              </w:rPr>
              <w:t xml:space="preserve">lub taki jak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x&lt;-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7</m:t>
                  </m:r>
                </m:den>
              </m:f>
            </m:oMath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znajduje współrzędne danych (na rysunku) punktów kratowych w układzie współrzędnych na płaszczyźnie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rPr>
          <w:trHeight w:val="524"/>
        </w:trPr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rysuje w układzie współrzędnych na płaszczyźnie punkty kratowe o danych współrzędnych całkowitych (dowolnego znaku)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4) znajduje środek odcinka, którego końce mają dane współrzędne (całkowite lub wymierne) oraz znajduje współrzędne drugiego końca, gdy dany jest jeden koniec </w:t>
            </w:r>
          </w:p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i środek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5) oblicza długość odcinka, którego końce są danymi punktami kratowymi </w:t>
            </w:r>
          </w:p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w układzie współrzędnych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6) dla danych punktów kratowych </w:t>
            </w:r>
            <w:r w:rsidRPr="00625D7F">
              <w:rPr>
                <w:i/>
                <w:sz w:val="20"/>
                <w:szCs w:val="20"/>
              </w:rPr>
              <w:t>A</w:t>
            </w:r>
            <w:r w:rsidRPr="00625D7F">
              <w:rPr>
                <w:sz w:val="20"/>
                <w:szCs w:val="20"/>
              </w:rPr>
              <w:t xml:space="preserve"> i </w:t>
            </w:r>
            <w:r w:rsidRPr="00625D7F">
              <w:rPr>
                <w:i/>
                <w:sz w:val="20"/>
                <w:szCs w:val="20"/>
              </w:rPr>
              <w:t>B</w:t>
            </w:r>
            <w:r w:rsidRPr="00625D7F">
              <w:rPr>
                <w:sz w:val="20"/>
                <w:szCs w:val="20"/>
              </w:rPr>
              <w:t xml:space="preserve"> znajduje inne punkty kratowe należące do prostej </w:t>
            </w:r>
            <w:r w:rsidRPr="00625D7F">
              <w:rPr>
                <w:i/>
                <w:sz w:val="20"/>
                <w:szCs w:val="20"/>
              </w:rPr>
              <w:t>AB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871171" w:rsidRPr="00625D7F" w:rsidTr="0049439C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XI. Geometria przestrzenna.</w:t>
            </w:r>
            <w:r w:rsidRPr="00625D7F">
              <w:rPr>
                <w:sz w:val="20"/>
                <w:szCs w:val="20"/>
              </w:rPr>
              <w:t xml:space="preserve"> Uczeń: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rozpoznaje graniastosłupy i ostrosłupy – w tym proste i prawidłowe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2) oblicza objętości </w:t>
            </w:r>
            <w:r>
              <w:rPr>
                <w:sz w:val="20"/>
                <w:szCs w:val="20"/>
              </w:rPr>
              <w:t xml:space="preserve">i </w:t>
            </w:r>
            <w:r w:rsidRPr="00625D7F">
              <w:rPr>
                <w:sz w:val="20"/>
                <w:szCs w:val="20"/>
              </w:rPr>
              <w:t>pola powierzchni graniastosłupów prostych, prawidłowych i takich, które nie są prawidłowe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oblicza objętości</w:t>
            </w:r>
            <w:r>
              <w:rPr>
                <w:sz w:val="20"/>
                <w:szCs w:val="20"/>
              </w:rPr>
              <w:t xml:space="preserve"> ostrosłupów</w:t>
            </w:r>
            <w:r w:rsidRPr="00625D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</w:t>
            </w:r>
            <w:r w:rsidRPr="00625D7F">
              <w:rPr>
                <w:sz w:val="20"/>
                <w:szCs w:val="20"/>
              </w:rPr>
              <w:t>pola powierzchni ostrosłupów prawidłowych i takich, które nie są prawidłowe</w:t>
            </w:r>
            <w:r>
              <w:rPr>
                <w:sz w:val="20"/>
                <w:szCs w:val="20"/>
              </w:rPr>
              <w:t>.</w:t>
            </w:r>
          </w:p>
        </w:tc>
      </w:tr>
      <w:tr w:rsidR="00871171" w:rsidRPr="00625D7F" w:rsidTr="0049439C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871171" w:rsidRPr="00625D7F" w:rsidRDefault="00871171" w:rsidP="00871171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XII. Wprowadzenie do kombinatoryki i rachunku prawdopodobieństwa.</w:t>
            </w:r>
            <w:r w:rsidRPr="00625D7F">
              <w:rPr>
                <w:sz w:val="20"/>
                <w:szCs w:val="20"/>
              </w:rPr>
              <w:t xml:space="preserve"> Uczeń: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wyznacza zbiory obiektów, analizuje i oblicza, ile jest obiektów, mających daną własność, w przypadkach niewymagających stosowania reguł mnożenia i dodawania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2) przeprowadza proste doświadczenia losowe, polegające na rzucie monetą, rzucie sześcienną kostką do gry, rzucie kostką wielościenną lub losowaniu kul spośród zestawu kul, analizuje je i oblicza prawdopodobieństwa zdarzeń </w:t>
            </w:r>
            <w:r>
              <w:rPr>
                <w:sz w:val="20"/>
                <w:szCs w:val="20"/>
              </w:rPr>
              <w:t xml:space="preserve">w doświadczeniach </w:t>
            </w:r>
            <w:r w:rsidRPr="00625D7F">
              <w:rPr>
                <w:sz w:val="20"/>
                <w:szCs w:val="20"/>
              </w:rPr>
              <w:t>losowych</w:t>
            </w:r>
            <w:r>
              <w:rPr>
                <w:sz w:val="20"/>
                <w:szCs w:val="20"/>
              </w:rPr>
              <w:t>.</w:t>
            </w:r>
          </w:p>
        </w:tc>
      </w:tr>
      <w:tr w:rsidR="00871171" w:rsidRPr="00625D7F" w:rsidTr="0049439C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XIII. Odczytywanie danych i elementy</w:t>
            </w:r>
            <w:r w:rsidRPr="00625D7F">
              <w:rPr>
                <w:sz w:val="20"/>
                <w:szCs w:val="20"/>
              </w:rPr>
              <w:t xml:space="preserve"> s</w:t>
            </w:r>
            <w:r w:rsidRPr="00625D7F">
              <w:rPr>
                <w:b/>
                <w:sz w:val="20"/>
                <w:szCs w:val="20"/>
              </w:rPr>
              <w:t xml:space="preserve">tatystyki opisowej. </w:t>
            </w:r>
            <w:r w:rsidRPr="00625D7F">
              <w:rPr>
                <w:sz w:val="20"/>
                <w:szCs w:val="20"/>
              </w:rPr>
              <w:t>Uczeń:</w:t>
            </w:r>
            <w:r w:rsidRPr="00625D7F">
              <w:rPr>
                <w:b/>
                <w:sz w:val="20"/>
                <w:szCs w:val="20"/>
              </w:rPr>
              <w:t xml:space="preserve">   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interpretuje dane przedstawione za pomocą tabel, diagramów słupkowych i kołowych, wykresów, w tym także wykresów w układzie współrzędnych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tworzy diagramy słupkowe i kołowe oraz wykresy liniowe na podstawie zebranych przez siebie danych lub danych pochodzących z różnych źródeł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oblicza śre</w:t>
            </w:r>
            <w:r>
              <w:rPr>
                <w:sz w:val="20"/>
                <w:szCs w:val="20"/>
              </w:rPr>
              <w:t>dnią arytmetyczną kilku liczb.</w:t>
            </w:r>
            <w:r w:rsidRPr="00625D7F">
              <w:rPr>
                <w:sz w:val="20"/>
                <w:szCs w:val="20"/>
              </w:rPr>
              <w:t xml:space="preserve"> </w:t>
            </w:r>
          </w:p>
        </w:tc>
      </w:tr>
      <w:tr w:rsidR="00871171" w:rsidRPr="00625D7F" w:rsidTr="0049439C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XIV. Długość okręgu i pole koła. </w:t>
            </w:r>
            <w:r w:rsidRPr="00625D7F">
              <w:rPr>
                <w:sz w:val="20"/>
                <w:szCs w:val="20"/>
              </w:rPr>
              <w:t>Uczeń: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oblicza długość okręgu o danym promieniu lub średnicy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oblicza promień lub średnicę okręgu o danej długości okręgu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oblicza pole koła o danym promieniu lub średnicy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4) oblicza promień lub średnicę koła o danym polu koła</w:t>
            </w:r>
            <w:r>
              <w:rPr>
                <w:sz w:val="20"/>
                <w:szCs w:val="20"/>
              </w:rPr>
              <w:t>.</w:t>
            </w:r>
          </w:p>
        </w:tc>
      </w:tr>
      <w:tr w:rsidR="00871171" w:rsidRPr="00625D7F" w:rsidTr="0049439C">
        <w:tc>
          <w:tcPr>
            <w:tcW w:w="7366" w:type="dxa"/>
            <w:shd w:val="clear" w:color="auto" w:fill="BFBFBF" w:themeFill="background1" w:themeFillShade="BF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XV. Symetrie. </w:t>
            </w:r>
            <w:r w:rsidRPr="00625D7F">
              <w:rPr>
                <w:sz w:val="20"/>
                <w:szCs w:val="20"/>
              </w:rPr>
              <w:t>Uczeń: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rozpoznaje symetralną odcinka i dwusieczną kąta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zna i stosuje w zadaniach podstawowe własności symetralnej odcinka i dwusiecznej kąta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rozpoznaje figury osiowosymetryczne i wskazuje ich osie symetrii oraz uzupełnia figurę do figury osiowosymetrycznej przy danych: osi symetrii figury i części figury</w:t>
            </w:r>
            <w:r>
              <w:rPr>
                <w:sz w:val="20"/>
                <w:szCs w:val="20"/>
              </w:rPr>
              <w:t>,</w:t>
            </w:r>
          </w:p>
        </w:tc>
      </w:tr>
      <w:tr w:rsidR="00871171" w:rsidRPr="00625D7F" w:rsidTr="0049439C">
        <w:tc>
          <w:tcPr>
            <w:tcW w:w="7366" w:type="dxa"/>
            <w:vAlign w:val="center"/>
          </w:tcPr>
          <w:p w:rsidR="00871171" w:rsidRPr="00625D7F" w:rsidRDefault="00871171" w:rsidP="00871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4)</w:t>
            </w:r>
            <w:r w:rsidRPr="00625D7F">
              <w:t xml:space="preserve"> </w:t>
            </w:r>
            <w:r w:rsidRPr="00625D7F">
              <w:rPr>
                <w:sz w:val="20"/>
                <w:szCs w:val="20"/>
              </w:rPr>
              <w:t>rozpoznaje figury środkowosymetryczne i wskazuje ich środki symetrii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871171" w:rsidRDefault="00871171" w:rsidP="00871171">
      <w:pPr>
        <w:spacing w:after="0" w:line="240" w:lineRule="auto"/>
      </w:pPr>
    </w:p>
    <w:sectPr w:rsidR="00871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3F"/>
    <w:rsid w:val="00593D3F"/>
    <w:rsid w:val="00871171"/>
    <w:rsid w:val="008E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1171"/>
    <w:pPr>
      <w:keepNext/>
      <w:spacing w:after="0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1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71171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1171"/>
    <w:pPr>
      <w:keepNext/>
      <w:spacing w:after="0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1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7117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1</cp:revision>
  <dcterms:created xsi:type="dcterms:W3CDTF">2024-09-03T13:04:00Z</dcterms:created>
  <dcterms:modified xsi:type="dcterms:W3CDTF">2024-09-03T13:08:00Z</dcterms:modified>
</cp:coreProperties>
</file>